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FF" w:rsidRDefault="00242CFF">
      <w:pPr>
        <w:pStyle w:val="Style1"/>
        <w:kinsoku w:val="0"/>
        <w:autoSpaceDE/>
        <w:autoSpaceDN/>
        <w:adjustRightInd/>
        <w:spacing w:before="504"/>
        <w:ind w:left="1872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TAT-2200-2013</w:t>
      </w:r>
    </w:p>
    <w:p w:rsidR="00242CFF" w:rsidRDefault="00242CFF" w:rsidP="00296DF7">
      <w:pPr>
        <w:pStyle w:val="Style2"/>
        <w:kinsoku w:val="0"/>
        <w:autoSpaceDE/>
        <w:autoSpaceDN/>
        <w:ind w:right="15"/>
        <w:rPr>
          <w:rStyle w:val="CharacterStyle1"/>
          <w:rFonts w:ascii="Verdana" w:hAnsi="Verdana" w:cs="Verdana"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1"/>
          <w:rFonts w:ascii="Verdana" w:hAnsi="Verdana" w:cs="Verdana"/>
          <w:lang w:val="es-ES" w:eastAsia="es-ES"/>
        </w:rPr>
        <w:t xml:space="preserve">San José, a las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once horas cuarenta y cinco minutos de treinta y uno de octubre de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dos mil trece.</w:t>
      </w:r>
    </w:p>
    <w:p w:rsidR="00242CFF" w:rsidRDefault="00242CFF" w:rsidP="00296DF7">
      <w:pPr>
        <w:pStyle w:val="Style2"/>
        <w:kinsoku w:val="0"/>
        <w:autoSpaceDE/>
        <w:autoSpaceDN/>
        <w:spacing w:before="324"/>
        <w:ind w:right="15"/>
        <w:rPr>
          <w:rStyle w:val="CharacterStyle1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Recurso de Apelación,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interpuesto por el </w:t>
      </w:r>
      <w:r w:rsidRPr="00B1258E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D</w:t>
      </w:r>
      <w:r w:rsidR="00B1258E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E</w:t>
      </w:r>
      <w:r w:rsidR="00B1258E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R</w:t>
      </w:r>
      <w:r w:rsidR="00B1258E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w w:val="105"/>
          <w:sz w:val="17"/>
          <w:szCs w:val="17"/>
          <w:lang w:val="es-ES" w:eastAsia="es-ES"/>
        </w:rPr>
        <w:t>F</w:t>
      </w:r>
      <w:r w:rsidR="00B1258E">
        <w:rPr>
          <w:rStyle w:val="CharacterStyle1"/>
          <w:rFonts w:ascii="Verdana" w:hAnsi="Verdana" w:cs="Verdana"/>
          <w:b/>
          <w:bCs/>
          <w:spacing w:val="5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5"/>
          <w:w w:val="105"/>
          <w:sz w:val="17"/>
          <w:szCs w:val="17"/>
          <w:lang w:val="es-ES" w:eastAsia="es-ES"/>
        </w:rPr>
        <w:t xml:space="preserve">, CEDULA DE IDENTIDAD </w:t>
      </w:r>
      <w:proofErr w:type="gramStart"/>
      <w:r>
        <w:rPr>
          <w:rStyle w:val="CharacterStyle1"/>
          <w:rFonts w:ascii="Verdana" w:hAnsi="Verdana" w:cs="Verdana"/>
          <w:b/>
          <w:bCs/>
          <w:spacing w:val="5"/>
          <w:w w:val="105"/>
          <w:sz w:val="17"/>
          <w:szCs w:val="17"/>
          <w:lang w:val="es-ES" w:eastAsia="es-ES"/>
        </w:rPr>
        <w:t xml:space="preserve">NÚMERO </w:t>
      </w:r>
      <w:r w:rsidR="00132C84">
        <w:rPr>
          <w:rStyle w:val="CharacterStyle1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…</w:t>
      </w:r>
      <w:proofErr w:type="gramEnd"/>
      <w:r w:rsidR="00132C84">
        <w:rPr>
          <w:rStyle w:val="CharacterStyle1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,</w:t>
      </w:r>
      <w:r>
        <w:rPr>
          <w:rStyle w:val="CharacterStyle1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en su condición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de apoderado especial de 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G</w:t>
      </w:r>
      <w:r w:rsidR="00B1258E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.D.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C</w:t>
      </w:r>
      <w:r w:rsidR="00B1258E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A</w:t>
      </w:r>
      <w:r w:rsidR="00B1258E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C</w:t>
      </w:r>
      <w:r w:rsidR="00132C84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.,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cedula de identidad número </w:t>
      </w:r>
      <w:r w:rsidR="00132C84"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…,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y otros,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contra el 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Artículo 7.1 de la Sesión Extraordinaria N. 02-2013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de 5 de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agosto de 2013, dictado por la JUNTA DIRECTIVA DEL CONSEJO DE </w:t>
      </w:r>
      <w:r>
        <w:rPr>
          <w:rStyle w:val="CharacterStyle1"/>
          <w:rFonts w:ascii="Verdana" w:hAnsi="Verdana" w:cs="Verdana"/>
          <w:spacing w:val="17"/>
          <w:lang w:val="es-ES" w:eastAsia="es-ES"/>
        </w:rPr>
        <w:t xml:space="preserve">TRANSPORTE PÚBLICO. </w:t>
      </w:r>
      <w:r>
        <w:rPr>
          <w:rStyle w:val="CharacterStyle1"/>
          <w:rFonts w:ascii="Verdana" w:hAnsi="Verdana" w:cs="Verdana"/>
          <w:b/>
          <w:bCs/>
          <w:spacing w:val="17"/>
          <w:w w:val="105"/>
          <w:sz w:val="22"/>
          <w:szCs w:val="22"/>
          <w:lang w:val="es-ES" w:eastAsia="es-ES"/>
        </w:rPr>
        <w:t xml:space="preserve">El caso se tramita en Expediente </w:t>
      </w:r>
      <w:r>
        <w:rPr>
          <w:rStyle w:val="CharacterStyle1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Administrativo N. TAT-072-13.</w:t>
      </w:r>
    </w:p>
    <w:p w:rsidR="00242CFF" w:rsidRDefault="00242CFF" w:rsidP="00296DF7">
      <w:pPr>
        <w:pStyle w:val="Style1"/>
        <w:kinsoku w:val="0"/>
        <w:autoSpaceDE/>
        <w:autoSpaceDN/>
        <w:adjustRightInd/>
        <w:spacing w:before="684" w:line="196" w:lineRule="auto"/>
        <w:ind w:left="3168" w:right="15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</w:t>
      </w:r>
    </w:p>
    <w:p w:rsidR="00242CFF" w:rsidRDefault="00242CFF" w:rsidP="00296DF7">
      <w:pPr>
        <w:pStyle w:val="Style2"/>
        <w:kinsoku w:val="0"/>
        <w:autoSpaceDE/>
        <w:autoSpaceDN/>
        <w:ind w:right="15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 xml:space="preserve">PRIMERO: </w:t>
      </w:r>
      <w:r>
        <w:rPr>
          <w:rStyle w:val="CharacterStyle1"/>
          <w:rFonts w:ascii="Arial" w:hAnsi="Arial" w:cs="Arial"/>
          <w:spacing w:val="-7"/>
          <w:sz w:val="23"/>
          <w:szCs w:val="23"/>
          <w:lang w:val="es-ES" w:eastAsia="es-ES"/>
        </w:rPr>
        <w:t xml:space="preserve">La </w:t>
      </w:r>
      <w:r>
        <w:rPr>
          <w:rStyle w:val="CharacterStyle1"/>
          <w:rFonts w:ascii="Verdana" w:hAnsi="Verdana" w:cs="Verdana"/>
          <w:spacing w:val="-7"/>
          <w:lang w:val="es-ES" w:eastAsia="es-ES"/>
        </w:rPr>
        <w:t xml:space="preserve">JUNTA DIRECTIVA DEL CONSEJO DE TRANSPORTE PÚBLICO,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mediante el </w:t>
      </w:r>
      <w:r>
        <w:rPr>
          <w:rStyle w:val="CharacterStyle1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>Artículo 7.1 de la Sesión Extraordinaria N. 02</w:t>
      </w:r>
      <w:r>
        <w:rPr>
          <w:rStyle w:val="CharacterStyle1"/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softHyphen/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2013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de 5 de agosto de 2013, conoce informe DAJ2013004032 de la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Dirección de Asuntos Jurídicos, en el cual se indican las listas de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calificación de los oferentes al proceso licitatorio de la Base Especial </w:t>
      </w:r>
      <w:r>
        <w:rPr>
          <w:rStyle w:val="CharacterStyle1"/>
          <w:rFonts w:ascii="Verdana" w:hAnsi="Verdana" w:cs="Verdana"/>
          <w:spacing w:val="11"/>
          <w:lang w:val="es-ES" w:eastAsia="es-ES"/>
        </w:rPr>
        <w:t xml:space="preserve">de Taxis del Aeropuerto Juan Santamaría y ordena proceder al acto </w:t>
      </w: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de adjudicación de conformidad con las listas presentadas. (Dicho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Acuerdo fue publicado en la Gaceta número 170 de 5 de setiembre de </w:t>
      </w:r>
      <w:r>
        <w:rPr>
          <w:rStyle w:val="CharacterStyle1"/>
          <w:rFonts w:ascii="Verdana" w:hAnsi="Verdana" w:cs="Verdana"/>
          <w:lang w:val="es-ES" w:eastAsia="es-ES"/>
        </w:rPr>
        <w:t>2013).</w:t>
      </w:r>
    </w:p>
    <w:p w:rsidR="00242CFF" w:rsidRDefault="00242CFF" w:rsidP="00296DF7">
      <w:pPr>
        <w:pStyle w:val="Style2"/>
        <w:kinsoku w:val="0"/>
        <w:autoSpaceDE/>
        <w:autoSpaceDN/>
        <w:spacing w:before="540"/>
        <w:ind w:right="15"/>
        <w:rPr>
          <w:rStyle w:val="CharacterStyle1"/>
          <w:rFonts w:ascii="Verdana" w:hAnsi="Verdana" w:cs="Verdana"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Se recibe en este Tribunal Administrativo de Transporte, 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Recurso de Apelación,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interpuesto por el </w:t>
      </w:r>
      <w:r w:rsidRPr="00296DF7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D</w:t>
      </w:r>
      <w:r w:rsidR="00296DF7">
        <w:rPr>
          <w:rStyle w:val="CharacterStyle1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E</w:t>
      </w:r>
      <w:r w:rsidR="00296DF7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R</w:t>
      </w:r>
      <w:r w:rsidR="00296DF7">
        <w:rPr>
          <w:rStyle w:val="CharacterStyle1"/>
          <w:rFonts w:ascii="Verdana" w:hAnsi="Verdana" w:cs="Verdana"/>
          <w:b/>
          <w:bCs/>
          <w:spacing w:val="3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>F</w:t>
      </w:r>
      <w:r w:rsidR="00132C84">
        <w:rPr>
          <w:rStyle w:val="CharacterStyle1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 xml:space="preserve">, CEDULA DE IDENTIDAD </w:t>
      </w:r>
      <w:proofErr w:type="gramStart"/>
      <w:r>
        <w:rPr>
          <w:rStyle w:val="CharacterStyle1"/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 xml:space="preserve">NÚMERO </w:t>
      </w:r>
      <w:r w:rsidR="00132C84">
        <w:rPr>
          <w:rStyle w:val="CharacterStyle1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…</w:t>
      </w:r>
      <w:proofErr w:type="gramEnd"/>
      <w:r w:rsidR="00132C84">
        <w:rPr>
          <w:rStyle w:val="CharacterStyle1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,</w:t>
      </w:r>
      <w:r>
        <w:rPr>
          <w:rStyle w:val="CharacterStyle1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 </w:t>
      </w:r>
      <w:r w:rsidR="00132C84">
        <w:rPr>
          <w:rStyle w:val="CharacterStyle1"/>
          <w:rFonts w:ascii="Verdana" w:hAnsi="Verdana" w:cs="Verdana"/>
          <w:spacing w:val="4"/>
          <w:lang w:val="es-ES" w:eastAsia="es-ES"/>
        </w:rPr>
        <w:t>en su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 condición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de apoderado especial de 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G</w:t>
      </w:r>
      <w:r w:rsidR="00296DF7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.D.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C</w:t>
      </w:r>
      <w:r w:rsidR="00296DF7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A</w:t>
      </w:r>
      <w:r w:rsidR="00296DF7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>C</w:t>
      </w:r>
      <w:r w:rsidR="00132C84">
        <w:rPr>
          <w:rStyle w:val="CharacterStyle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., </w:t>
      </w:r>
      <w:r>
        <w:rPr>
          <w:rStyle w:val="CharacterStyle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c</w:t>
      </w:r>
      <w:r w:rsidR="00132C84">
        <w:rPr>
          <w:rStyle w:val="CharacterStyle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é</w:t>
      </w:r>
      <w:r>
        <w:rPr>
          <w:rStyle w:val="CharacterStyle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dula de identidad número </w:t>
      </w:r>
      <w:r w:rsidR="00132C84">
        <w:rPr>
          <w:rStyle w:val="CharacterStyle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…,</w:t>
      </w:r>
      <w:r>
        <w:rPr>
          <w:rStyle w:val="CharacterStyle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-4"/>
          <w:lang w:val="es-ES" w:eastAsia="es-ES"/>
        </w:rPr>
        <w:t xml:space="preserve">y otros contra el acto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indicado en líneas supra, determinándose que el Recurrente presentó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al mismo </w:t>
      </w:r>
      <w:r>
        <w:rPr>
          <w:rStyle w:val="CharacterStyle1"/>
          <w:rFonts w:ascii="Verdana" w:hAnsi="Verdana" w:cs="Verdana"/>
          <w:spacing w:val="-5"/>
          <w:lang w:val="es-ES" w:eastAsia="es-ES"/>
        </w:rPr>
        <w:t xml:space="preserve">tiempo ante el CONSEJO DE TRANSPORTE PÚBLICO, el respectivo </w:t>
      </w:r>
      <w:r>
        <w:rPr>
          <w:rStyle w:val="CharacterStyle1"/>
          <w:rFonts w:ascii="Verdana" w:hAnsi="Verdana" w:cs="Verdana"/>
          <w:spacing w:val="12"/>
          <w:lang w:val="es-ES" w:eastAsia="es-ES"/>
        </w:rPr>
        <w:t xml:space="preserve">recurso de Revocatoria. (Léanse folios del 1 al 17 del expediente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>administrativo).</w:t>
      </w:r>
    </w:p>
    <w:p w:rsidR="00242CFF" w:rsidRDefault="00242CFF">
      <w:pPr>
        <w:pStyle w:val="Style1"/>
        <w:kinsoku w:val="0"/>
        <w:autoSpaceDE/>
        <w:autoSpaceDN/>
        <w:adjustRightInd/>
        <w:spacing w:before="360" w:after="756"/>
        <w:jc w:val="center"/>
        <w:rPr>
          <w:rFonts w:ascii="Verdana" w:hAnsi="Verdana" w:cs="Verdana"/>
          <w:spacing w:val="10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>Mediante prevención TAT-072-13 de nueve horas quince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br/>
        <w:t>minutos de dieciocho de setiembre de 2013, se ordena al Consejo de</w:t>
      </w:r>
    </w:p>
    <w:p w:rsidR="00296DF7" w:rsidRDefault="00296DF7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296DF7" w:rsidRDefault="00296DF7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296DF7" w:rsidRDefault="00296DF7">
      <w:pPr>
        <w:pStyle w:val="Style1"/>
        <w:tabs>
          <w:tab w:val="right" w:pos="2650"/>
        </w:tabs>
        <w:kinsoku w:val="0"/>
        <w:autoSpaceDE/>
        <w:autoSpaceDN/>
        <w:adjustRightInd/>
        <w:spacing w:line="216" w:lineRule="auto"/>
        <w:rPr>
          <w:rFonts w:ascii="Garamond" w:hAnsi="Garamond" w:cs="Garamond"/>
          <w:sz w:val="19"/>
          <w:szCs w:val="19"/>
          <w:lang w:val="es-ES" w:eastAsia="es-ES"/>
        </w:rPr>
      </w:pPr>
    </w:p>
    <w:p w:rsidR="00CC504C" w:rsidRDefault="00CC504C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spacing w:val="7"/>
          <w:w w:val="105"/>
          <w:lang w:val="es-ES" w:eastAsia="es-ES"/>
        </w:rPr>
      </w:pPr>
    </w:p>
    <w:p w:rsidR="00242CFF" w:rsidRDefault="00242CF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7"/>
          <w:w w:val="105"/>
          <w:lang w:val="es-ES" w:eastAsia="es-ES"/>
        </w:rPr>
        <w:lastRenderedPageBreak/>
        <w:t xml:space="preserve">Transporte Público indique si se está tramitando el Recurso de </w:t>
      </w:r>
      <w:r w:rsidR="00132C84"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Revocatoria, presentado por el D.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R</w:t>
      </w:r>
      <w:r w:rsidR="00132C84"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F</w:t>
      </w:r>
      <w:r w:rsidR="00132C84"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.,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 contra el </w:t>
      </w:r>
      <w:r>
        <w:rPr>
          <w:rStyle w:val="CharacterStyle3"/>
          <w:rFonts w:ascii="Verdana" w:hAnsi="Verdana" w:cs="Verdana"/>
          <w:b/>
          <w:bCs/>
          <w:spacing w:val="-3"/>
          <w:lang w:val="es-ES" w:eastAsia="es-ES"/>
        </w:rPr>
        <w:t xml:space="preserve">Artículo </w:t>
      </w:r>
      <w:r>
        <w:rPr>
          <w:rStyle w:val="CharacterStyle3"/>
          <w:rFonts w:ascii="Verdana" w:hAnsi="Verdana" w:cs="Verdana"/>
          <w:b/>
          <w:bCs/>
          <w:spacing w:val="5"/>
          <w:lang w:val="es-ES" w:eastAsia="es-ES"/>
        </w:rPr>
        <w:t xml:space="preserve">7.1 de la Sesión Extraordinaria N. 02-2013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de 5 de agosto de </w:t>
      </w:r>
      <w:r>
        <w:rPr>
          <w:rStyle w:val="CharacterStyle3"/>
          <w:rFonts w:ascii="Verdana" w:hAnsi="Verdana" w:cs="Verdana"/>
          <w:spacing w:val="12"/>
          <w:w w:val="105"/>
          <w:lang w:val="es-ES" w:eastAsia="es-ES"/>
        </w:rPr>
        <w:t xml:space="preserve">2013, a lo cual se responde afirmativamente por parte de la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Licenciada </w:t>
      </w:r>
      <w:proofErr w:type="spellStart"/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Sidia</w:t>
      </w:r>
      <w:proofErr w:type="spellEnd"/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 Cerdas Ruiz Directora de Asuntos Jurídicos del CTP mediante oficio 2013004879 de 20 de setiembre de 2013. (Ver folios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66 y 69 del expediente administrativo).</w:t>
      </w:r>
    </w:p>
    <w:p w:rsidR="00242CFF" w:rsidRDefault="00242CFF">
      <w:pPr>
        <w:pStyle w:val="Style3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En los procedimientos seguidos se han observado las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prescripciones legales.</w:t>
      </w:r>
    </w:p>
    <w:p w:rsidR="00242CFF" w:rsidRDefault="00242CFF">
      <w:pPr>
        <w:pStyle w:val="Style4"/>
        <w:kinsoku w:val="0"/>
        <w:autoSpaceDE/>
        <w:autoSpaceDN/>
        <w:adjustRightInd/>
        <w:spacing w:before="288"/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Redacta la Jueza Pérez Peláez.</w:t>
      </w:r>
    </w:p>
    <w:p w:rsidR="00242CFF" w:rsidRDefault="00242CFF">
      <w:pPr>
        <w:pStyle w:val="Style4"/>
        <w:kinsoku w:val="0"/>
        <w:autoSpaceDE/>
        <w:autoSpaceDN/>
        <w:adjustRightInd/>
        <w:spacing w:before="324" w:line="208" w:lineRule="auto"/>
        <w:ind w:left="2448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 UNICO</w:t>
      </w:r>
    </w:p>
    <w:p w:rsidR="00242CFF" w:rsidRDefault="00242CFF">
      <w:pPr>
        <w:pStyle w:val="Style3"/>
        <w:kinsoku w:val="0"/>
        <w:autoSpaceDE/>
        <w:autoSpaceDN/>
        <w:spacing w:before="252"/>
        <w:rPr>
          <w:rStyle w:val="CharacterStyle3"/>
          <w:rFonts w:ascii="Verdana" w:hAnsi="Verdana" w:cs="Verdana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Debe procederse al archivo del presente asunto, ya que el recurrente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accionó ante el Consejo de Transporte Público mediante Recurso de </w:t>
      </w:r>
      <w:r>
        <w:rPr>
          <w:rStyle w:val="CharacterStyle3"/>
          <w:rFonts w:ascii="Verdana" w:hAnsi="Verdana" w:cs="Verdana"/>
          <w:spacing w:val="24"/>
          <w:w w:val="105"/>
          <w:lang w:val="es-ES" w:eastAsia="es-ES"/>
        </w:rPr>
        <w:t xml:space="preserve">Revocatoria, con Apelación en subsidio ante el Tribunal </w:t>
      </w:r>
      <w:r>
        <w:rPr>
          <w:rStyle w:val="CharacterStyle3"/>
          <w:rFonts w:ascii="Verdana" w:hAnsi="Verdana" w:cs="Verdana"/>
          <w:spacing w:val="2"/>
          <w:w w:val="105"/>
          <w:lang w:val="es-ES" w:eastAsia="es-ES"/>
        </w:rPr>
        <w:t xml:space="preserve">Administrativo de Transporte, por lo que éste se ve inhibido para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conocer del asunto, pues no ha sido resuelto el recurso de primera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instancia.</w:t>
      </w:r>
    </w:p>
    <w:p w:rsidR="00242CFF" w:rsidRDefault="00242CFF">
      <w:pPr>
        <w:pStyle w:val="Style3"/>
        <w:kinsoku w:val="0"/>
        <w:autoSpaceDE/>
        <w:autoSpaceDN/>
        <w:spacing w:before="360"/>
        <w:rPr>
          <w:rStyle w:val="CharacterStyle3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15"/>
          <w:w w:val="105"/>
          <w:lang w:val="es-ES" w:eastAsia="es-ES"/>
        </w:rPr>
        <w:t xml:space="preserve">De conformidad con el numeral 22 de La Ley de Transporte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Remunerado de Personas en Vehículos en la Modalidad de Taxi, N.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7969 del 22 de diciembre de 1999, el Tribunal es competente:</w:t>
      </w:r>
    </w:p>
    <w:p w:rsidR="00242CFF" w:rsidRDefault="00242CFF">
      <w:pPr>
        <w:pStyle w:val="Style4"/>
        <w:kinsoku w:val="0"/>
        <w:autoSpaceDE/>
        <w:autoSpaceDN/>
        <w:adjustRightInd/>
        <w:spacing w:before="252" w:line="285" w:lineRule="auto"/>
        <w:ind w:left="360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"ARTÍCULO 22.- Competencia del Tribunal</w:t>
      </w:r>
    </w:p>
    <w:p w:rsidR="00242CFF" w:rsidRDefault="00242CFF">
      <w:pPr>
        <w:pStyle w:val="Style4"/>
        <w:kinsoku w:val="0"/>
        <w:autoSpaceDE/>
        <w:autoSpaceDN/>
        <w:adjustRightInd/>
        <w:ind w:left="360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El Tribunal será competente para lo siguiente:</w:t>
      </w:r>
    </w:p>
    <w:p w:rsidR="00242CFF" w:rsidRDefault="00242CFF" w:rsidP="00296DF7">
      <w:pPr>
        <w:pStyle w:val="Style4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252"/>
        <w:ind w:right="360"/>
        <w:jc w:val="both"/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6"/>
          <w:sz w:val="19"/>
          <w:szCs w:val="19"/>
          <w:lang w:val="es-ES" w:eastAsia="es-ES"/>
        </w:rPr>
        <w:t xml:space="preserve">Conocer y resolver, en sede administrativa, los recursos de </w:t>
      </w:r>
      <w:r>
        <w:rPr>
          <w:rStyle w:val="CharacterStyle4"/>
          <w:rFonts w:ascii="Verdana" w:hAnsi="Verdana" w:cs="Verdana"/>
          <w:b/>
          <w:bCs/>
          <w:i/>
          <w:iCs/>
          <w:spacing w:val="-4"/>
          <w:sz w:val="19"/>
          <w:szCs w:val="19"/>
          <w:lang w:val="es-ES" w:eastAsia="es-ES"/>
        </w:rPr>
        <w:t xml:space="preserve">apelación que se interpongan contra cualquier acto o resolución del </w:t>
      </w:r>
      <w:r>
        <w:rPr>
          <w:rStyle w:val="CharacterStyle4"/>
          <w:rFonts w:ascii="Verdana" w:hAnsi="Verdana" w:cs="Verdana"/>
          <w:b/>
          <w:bCs/>
          <w:i/>
          <w:iCs/>
          <w:sz w:val="19"/>
          <w:szCs w:val="19"/>
          <w:lang w:val="es-ES" w:eastAsia="es-ES"/>
        </w:rPr>
        <w:t>Consejo.</w:t>
      </w:r>
    </w:p>
    <w:p w:rsidR="00242CFF" w:rsidRDefault="00242CFF" w:rsidP="00296DF7">
      <w:pPr>
        <w:pStyle w:val="Style4"/>
        <w:numPr>
          <w:ilvl w:val="0"/>
          <w:numId w:val="2"/>
        </w:numPr>
        <w:tabs>
          <w:tab w:val="clear" w:pos="288"/>
          <w:tab w:val="num" w:pos="720"/>
        </w:tabs>
        <w:kinsoku w:val="0"/>
        <w:autoSpaceDE/>
        <w:autoSpaceDN/>
        <w:adjustRightInd/>
        <w:ind w:right="432"/>
        <w:jc w:val="both"/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Establecer, en vía administrativa, las indemnizaciones que puedan </w:t>
      </w:r>
      <w:r>
        <w:rPr>
          <w:rStyle w:val="CharacterStyle4"/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originarse en relación con los daños producidos por violaciones de la </w:t>
      </w:r>
      <w:r>
        <w:rPr>
          <w:rStyle w:val="CharacterStyle4"/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>legislación del transporte público.</w:t>
      </w:r>
    </w:p>
    <w:p w:rsidR="00242CFF" w:rsidRDefault="00242CFF" w:rsidP="00296DF7">
      <w:pPr>
        <w:pStyle w:val="Style4"/>
        <w:numPr>
          <w:ilvl w:val="0"/>
          <w:numId w:val="2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36"/>
        <w:ind w:right="360"/>
        <w:jc w:val="both"/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Las resoluciones del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9"/>
          <w:szCs w:val="19"/>
          <w:lang w:val="es-ES" w:eastAsia="es-ES"/>
        </w:rPr>
        <w:t xml:space="preserve">Tribunal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8"/>
          <w:szCs w:val="18"/>
          <w:lang w:val="es-ES" w:eastAsia="es-ES"/>
        </w:rPr>
        <w:t xml:space="preserve">no tendrán más recursos y darán por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agotada la vía administrativa."( el resaltado es nuestro)</w:t>
      </w:r>
    </w:p>
    <w:p w:rsidR="00242CFF" w:rsidRDefault="00242CFF">
      <w:pPr>
        <w:pStyle w:val="Style4"/>
        <w:kinsoku w:val="0"/>
        <w:autoSpaceDE/>
        <w:autoSpaceDN/>
        <w:adjustRightInd/>
        <w:spacing w:before="288" w:after="1584"/>
        <w:jc w:val="both"/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Como se puede verificar de lo dicho, el órgano de alzada tiene la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competencia para conocer de los recursos de apelación que se le 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presenten contra los actos del Consejo de Transporte Público, sin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embargo la recurrente interpone la Revocatoria, al mismo tiempo,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ante el CTP, misma que se encuentra en trámite en el Consejo, según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lo indicado por la Licenciada </w:t>
      </w:r>
      <w:proofErr w:type="spellStart"/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Sidia</w:t>
      </w:r>
      <w:proofErr w:type="spellEnd"/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 Cerdas Ruíz Directora de Asuntos </w:t>
      </w: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Jurídicos del CTP, mediante oficio 2013004879 de 20 de setiembre de </w:t>
      </w:r>
      <w:r>
        <w:rPr>
          <w:rStyle w:val="CharacterStyle4"/>
          <w:rFonts w:ascii="Verdana" w:hAnsi="Verdana" w:cs="Verdana"/>
          <w:w w:val="105"/>
          <w:sz w:val="22"/>
          <w:szCs w:val="22"/>
          <w:lang w:val="es-ES" w:eastAsia="es-ES"/>
        </w:rPr>
        <w:t>2013.</w:t>
      </w:r>
    </w:p>
    <w:p w:rsidR="00CC504C" w:rsidRDefault="00CC504C">
      <w:pPr>
        <w:pStyle w:val="Style4"/>
        <w:kinsoku w:val="0"/>
        <w:autoSpaceDE/>
        <w:autoSpaceDN/>
        <w:adjustRightInd/>
        <w:spacing w:line="184" w:lineRule="auto"/>
        <w:jc w:val="center"/>
        <w:rPr>
          <w:rStyle w:val="CharacterStyle4"/>
          <w:rFonts w:ascii="Garamond" w:hAnsi="Garamond" w:cs="Garamond"/>
          <w:sz w:val="19"/>
          <w:szCs w:val="19"/>
          <w:lang w:val="es-ES" w:eastAsia="es-ES"/>
        </w:rPr>
      </w:pPr>
    </w:p>
    <w:p w:rsidR="00132C84" w:rsidRDefault="00132C84">
      <w:pPr>
        <w:pStyle w:val="Style4"/>
        <w:kinsoku w:val="0"/>
        <w:autoSpaceDE/>
        <w:autoSpaceDN/>
        <w:adjustRightInd/>
        <w:spacing w:line="184" w:lineRule="auto"/>
        <w:jc w:val="center"/>
        <w:rPr>
          <w:rStyle w:val="CharacterStyle4"/>
          <w:rFonts w:ascii="Garamond" w:hAnsi="Garamond" w:cs="Garamond"/>
          <w:sz w:val="19"/>
          <w:szCs w:val="19"/>
          <w:lang w:val="es-ES" w:eastAsia="es-ES"/>
        </w:rPr>
      </w:pPr>
    </w:p>
    <w:p w:rsidR="00CC504C" w:rsidRDefault="00CC504C">
      <w:pPr>
        <w:pStyle w:val="Style4"/>
        <w:kinsoku w:val="0"/>
        <w:autoSpaceDE/>
        <w:autoSpaceDN/>
        <w:adjustRightInd/>
        <w:spacing w:line="184" w:lineRule="auto"/>
        <w:jc w:val="center"/>
        <w:rPr>
          <w:rStyle w:val="CharacterStyle4"/>
          <w:rFonts w:ascii="Garamond" w:hAnsi="Garamond" w:cs="Garamond"/>
          <w:sz w:val="19"/>
          <w:szCs w:val="19"/>
          <w:lang w:val="es-ES" w:eastAsia="es-ES"/>
        </w:rPr>
      </w:pPr>
    </w:p>
    <w:p w:rsidR="00CC504C" w:rsidRDefault="00CC504C">
      <w:pPr>
        <w:pStyle w:val="Style4"/>
        <w:kinsoku w:val="0"/>
        <w:autoSpaceDE/>
        <w:autoSpaceDN/>
        <w:adjustRightInd/>
        <w:spacing w:line="184" w:lineRule="auto"/>
        <w:jc w:val="center"/>
        <w:rPr>
          <w:rStyle w:val="CharacterStyle4"/>
          <w:rFonts w:ascii="Garamond" w:hAnsi="Garamond" w:cs="Garamond"/>
          <w:sz w:val="19"/>
          <w:szCs w:val="19"/>
          <w:lang w:val="es-ES" w:eastAsia="es-ES"/>
        </w:rPr>
      </w:pPr>
    </w:p>
    <w:p w:rsidR="00CC504C" w:rsidRDefault="00CC504C">
      <w:pPr>
        <w:pStyle w:val="Style4"/>
        <w:kinsoku w:val="0"/>
        <w:autoSpaceDE/>
        <w:autoSpaceDN/>
        <w:adjustRightInd/>
        <w:spacing w:line="184" w:lineRule="auto"/>
        <w:jc w:val="center"/>
        <w:rPr>
          <w:rStyle w:val="CharacterStyle4"/>
          <w:rFonts w:ascii="Garamond" w:hAnsi="Garamond" w:cs="Garamond"/>
          <w:sz w:val="19"/>
          <w:szCs w:val="19"/>
          <w:lang w:val="es-ES" w:eastAsia="es-ES"/>
        </w:rPr>
      </w:pPr>
    </w:p>
    <w:p w:rsidR="00242CFF" w:rsidRDefault="00242CFF">
      <w:pPr>
        <w:pStyle w:val="Style4"/>
        <w:kinsoku w:val="0"/>
        <w:autoSpaceDE/>
        <w:autoSpaceDN/>
        <w:adjustRightInd/>
        <w:ind w:right="576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lastRenderedPageBreak/>
        <w:t xml:space="preserve">De acuerdo a lo anterior, el Tribunal debe ordenar el archivo, de </w:t>
      </w:r>
      <w:r>
        <w:rPr>
          <w:rStyle w:val="CharacterStyle4"/>
          <w:rFonts w:ascii="Verdana" w:hAnsi="Verdana" w:cs="Verdana"/>
          <w:spacing w:val="30"/>
          <w:sz w:val="22"/>
          <w:szCs w:val="22"/>
          <w:lang w:val="es-ES" w:eastAsia="es-ES"/>
        </w:rPr>
        <w:t xml:space="preserve">conformidad con el artículo 347 de la Ley General de la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Administración Pública, el cual dispone lo siguiente:</w:t>
      </w:r>
    </w:p>
    <w:p w:rsidR="00242CFF" w:rsidRDefault="00242CFF">
      <w:pPr>
        <w:pStyle w:val="Style4"/>
        <w:kinsoku w:val="0"/>
        <w:autoSpaceDE/>
        <w:autoSpaceDN/>
        <w:adjustRightInd/>
        <w:spacing w:before="252" w:line="211" w:lineRule="auto"/>
        <w:ind w:left="576"/>
        <w:rPr>
          <w:rStyle w:val="CharacterStyle4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22"/>
          <w:szCs w:val="22"/>
          <w:lang w:val="es-ES" w:eastAsia="es-ES"/>
        </w:rPr>
        <w:t>"Artículo 347.-</w:t>
      </w:r>
    </w:p>
    <w:p w:rsidR="00242CFF" w:rsidRDefault="00242CFF">
      <w:pPr>
        <w:pStyle w:val="Style4"/>
        <w:numPr>
          <w:ilvl w:val="0"/>
          <w:numId w:val="3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288"/>
        <w:ind w:right="1080"/>
        <w:rPr>
          <w:rStyle w:val="CharacterStyle4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Los recursos podrán también interponerse haciéndolo </w:t>
      </w:r>
      <w:r>
        <w:rPr>
          <w:rStyle w:val="CharacterStyle4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constar en el acta de la notificación respectiva.</w:t>
      </w:r>
    </w:p>
    <w:p w:rsidR="00242CFF" w:rsidRDefault="00242CFF">
      <w:pPr>
        <w:pStyle w:val="Style4"/>
        <w:numPr>
          <w:ilvl w:val="0"/>
          <w:numId w:val="4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6"/>
        <w:ind w:right="1080"/>
        <w:jc w:val="both"/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Es potestativo usar ambos recursos ordinarios o uno solo de ellos, pero será inadmisible el que se interponga pasados los términos fijados en el artículo anterior.</w:t>
      </w:r>
    </w:p>
    <w:p w:rsidR="00242CFF" w:rsidRDefault="00242CFF">
      <w:pPr>
        <w:pStyle w:val="Style4"/>
        <w:numPr>
          <w:ilvl w:val="0"/>
          <w:numId w:val="5"/>
        </w:numPr>
        <w:tabs>
          <w:tab w:val="clear" w:pos="504"/>
          <w:tab w:val="num" w:pos="1080"/>
        </w:tabs>
        <w:kinsoku w:val="0"/>
        <w:autoSpaceDE/>
        <w:autoSpaceDN/>
        <w:adjustRightInd/>
        <w:spacing w:before="36"/>
        <w:ind w:right="1080"/>
        <w:jc w:val="both"/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17"/>
          <w:sz w:val="22"/>
          <w:szCs w:val="22"/>
          <w:lang w:val="es-ES" w:eastAsia="es-ES"/>
        </w:rPr>
        <w:t xml:space="preserve">Si se interponen ambos recursos a la vez, se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22"/>
          <w:szCs w:val="22"/>
          <w:lang w:val="es-ES" w:eastAsia="es-ES"/>
        </w:rPr>
        <w:t xml:space="preserve">tramitará la apelación una vez declarada sin lugar la </w:t>
      </w:r>
      <w:r>
        <w:rPr>
          <w:rStyle w:val="CharacterStyle4"/>
          <w:rFonts w:ascii="Verdana" w:hAnsi="Verdana" w:cs="Verdana"/>
          <w:b/>
          <w:bCs/>
          <w:i/>
          <w:iCs/>
          <w:spacing w:val="2"/>
          <w:sz w:val="22"/>
          <w:szCs w:val="22"/>
          <w:lang w:val="es-ES" w:eastAsia="es-ES"/>
        </w:rPr>
        <w:t xml:space="preserve">revocatoria."(El </w:t>
      </w:r>
      <w:r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Resaltado es nuestro)</w:t>
      </w:r>
    </w:p>
    <w:p w:rsidR="00242CFF" w:rsidRDefault="00242CFF">
      <w:pPr>
        <w:pStyle w:val="Style4"/>
        <w:kinsoku w:val="0"/>
        <w:autoSpaceDE/>
        <w:autoSpaceDN/>
        <w:adjustRightInd/>
        <w:spacing w:before="288"/>
        <w:ind w:right="576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En conclusión, una vez resuelto el recurso de primera instancia y de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ser declarado sin lugar por el CTP, el Tribunal Administrativo de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Transporte podrá conocer del Recurso de Alzada, más en este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momento debe procederse al archivo del mismo por prematuro.</w:t>
      </w:r>
    </w:p>
    <w:p w:rsidR="00242CFF" w:rsidRDefault="00242CFF">
      <w:pPr>
        <w:pStyle w:val="Style4"/>
        <w:kinsoku w:val="0"/>
        <w:autoSpaceDE/>
        <w:autoSpaceDN/>
        <w:adjustRightInd/>
        <w:spacing w:before="360" w:line="204" w:lineRule="auto"/>
        <w:ind w:left="3312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POR TANTO</w:t>
      </w:r>
    </w:p>
    <w:p w:rsidR="00242CFF" w:rsidRDefault="00242CFF">
      <w:pPr>
        <w:pStyle w:val="Style4"/>
        <w:numPr>
          <w:ilvl w:val="0"/>
          <w:numId w:val="6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324" w:after="288"/>
        <w:ind w:right="576"/>
        <w:jc w:val="both"/>
        <w:rPr>
          <w:rStyle w:val="CharacterStyle4"/>
          <w:rFonts w:ascii="Verdana" w:hAnsi="Verdana" w:cs="Verdana"/>
          <w:spacing w:val="-1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Se ordena el archivo por prematuro del </w:t>
      </w:r>
      <w:r>
        <w:rPr>
          <w:rStyle w:val="CharacterStyle4"/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Recurso de Apelación,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interpuesto por el </w:t>
      </w:r>
      <w:r w:rsidR="00132C84"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D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.E.R.F</w:t>
      </w:r>
      <w:r w:rsidR="00132C84"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proofErr w:type="gramStart"/>
      <w:r w:rsidR="00132C84"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,</w:t>
      </w:r>
      <w:proofErr w:type="gramEnd"/>
      <w:r>
        <w:rPr>
          <w:rStyle w:val="CharacterStyle4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 CEDULA DE </w:t>
      </w:r>
      <w:r>
        <w:rPr>
          <w:rStyle w:val="CharacterStyle4"/>
          <w:rFonts w:ascii="Verdana" w:hAnsi="Verdana" w:cs="Verdana"/>
          <w:b/>
          <w:bCs/>
          <w:spacing w:val="8"/>
          <w:w w:val="105"/>
          <w:sz w:val="21"/>
          <w:szCs w:val="21"/>
          <w:lang w:val="es-ES" w:eastAsia="es-ES"/>
        </w:rPr>
        <w:t xml:space="preserve">IDENTIDAD NÚMERO </w:t>
      </w:r>
      <w:r w:rsidR="00132C84">
        <w:rPr>
          <w:rStyle w:val="CharacterStyle4"/>
          <w:rFonts w:ascii="Verdana" w:hAnsi="Verdana" w:cs="Verdana"/>
          <w:b/>
          <w:bCs/>
          <w:spacing w:val="8"/>
          <w:w w:val="105"/>
          <w:sz w:val="21"/>
          <w:szCs w:val="21"/>
          <w:lang w:val="es-ES" w:eastAsia="es-ES"/>
        </w:rPr>
        <w:t>…,</w:t>
      </w:r>
      <w:r>
        <w:rPr>
          <w:rStyle w:val="CharacterStyle4"/>
          <w:rFonts w:ascii="Verdana" w:hAnsi="Verdana" w:cs="Verdana"/>
          <w:b/>
          <w:bCs/>
          <w:spacing w:val="8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en su condición de apoderado </w:t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t xml:space="preserve">especial de </w:t>
      </w:r>
      <w:r>
        <w:rPr>
          <w:rStyle w:val="CharacterStyle4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G.</w:t>
      </w:r>
      <w:r w:rsidR="00132C84">
        <w:rPr>
          <w:rStyle w:val="CharacterStyle4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D</w:t>
      </w:r>
      <w:r>
        <w:rPr>
          <w:rStyle w:val="CharacterStyle4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.C.A.C</w:t>
      </w:r>
      <w:r w:rsidR="00132C84">
        <w:rPr>
          <w:rStyle w:val="CharacterStyle4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.,</w:t>
      </w:r>
      <w:r>
        <w:rPr>
          <w:rStyle w:val="CharacterStyle4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 xml:space="preserve"> cédula de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identidad número</w:t>
      </w:r>
      <w:r w:rsidR="00132C84">
        <w:rPr>
          <w:rStyle w:val="CharacterStyle4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 …,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 y otros,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contra el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Artículo 7.1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 xml:space="preserve">de la Sesión Extraordinaria N. 02-2013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5 de agosto de 2013, </w:t>
      </w:r>
      <w:r>
        <w:rPr>
          <w:rStyle w:val="CharacterStyle4"/>
          <w:rFonts w:ascii="Verdana" w:hAnsi="Verdana" w:cs="Verdana"/>
          <w:spacing w:val="-15"/>
          <w:sz w:val="22"/>
          <w:szCs w:val="22"/>
          <w:lang w:val="es-ES" w:eastAsia="es-ES"/>
        </w:rPr>
        <w:t>dictado por la JUNTA DIRECTIVA DEL CONSEJO DE TRANSPORTE PÚBLICO.</w:t>
      </w:r>
    </w:p>
    <w:p w:rsidR="00242CFF" w:rsidRPr="00242CFF" w:rsidRDefault="00242CFF">
      <w:pPr>
        <w:ind w:left="65"/>
        <w:jc w:val="center"/>
        <w:rPr>
          <w:lang w:val="es-CR"/>
        </w:rPr>
      </w:pPr>
    </w:p>
    <w:p w:rsidR="00242CFF" w:rsidRDefault="00242CFF">
      <w:pPr>
        <w:pStyle w:val="Style4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  <w:t>NOTIFIQUESE.</w:t>
      </w: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Lic. Carlos Miguel Portuguez Méndez</w:t>
      </w:r>
    </w:p>
    <w:p w:rsidR="00CC504C" w:rsidRPr="00667902" w:rsidRDefault="00CC504C" w:rsidP="00CC504C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</w:pP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Presidente</w:t>
      </w:r>
    </w:p>
    <w:p w:rsidR="00CC504C" w:rsidRDefault="00CC504C" w:rsidP="00CC504C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>Licda. Marta Luz Pérez Peláez</w:t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  <w:t>Lic. Mario Quesada Aguirre</w:t>
      </w: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>Juez</w:t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</w:r>
      <w:r w:rsidRPr="00667902">
        <w:rPr>
          <w:rStyle w:val="CharacterStyle4"/>
          <w:rFonts w:ascii="Verdana" w:hAnsi="Verdana" w:cs="Verdana"/>
          <w:b/>
          <w:spacing w:val="2"/>
          <w:w w:val="105"/>
          <w:lang w:val="es-ES" w:eastAsia="es-ES"/>
        </w:rPr>
        <w:tab/>
        <w:t>Juez</w:t>
      </w: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p w:rsidR="00CC504C" w:rsidRDefault="00CC504C" w:rsidP="00CC504C">
      <w:pPr>
        <w:pStyle w:val="Style4"/>
        <w:kinsoku w:val="0"/>
        <w:autoSpaceDE/>
        <w:autoSpaceDN/>
        <w:adjustRightInd/>
        <w:spacing w:line="206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1"/>
          <w:szCs w:val="21"/>
          <w:lang w:val="es-ES" w:eastAsia="es-ES"/>
        </w:rPr>
      </w:pPr>
    </w:p>
    <w:sectPr w:rsidR="00CC504C">
      <w:pgSz w:w="12120" w:h="15840"/>
      <w:pgMar w:top="1013" w:right="1922" w:bottom="215" w:left="21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E35E"/>
    <w:multiLevelType w:val="singleLevel"/>
    <w:tmpl w:val="36CE7B7E"/>
    <w:lvl w:ilvl="0">
      <w:start w:val="1"/>
      <w:numFmt w:val="decimal"/>
      <w:lvlText w:val="%1."/>
      <w:lvlJc w:val="left"/>
      <w:pPr>
        <w:tabs>
          <w:tab w:val="num" w:pos="432"/>
        </w:tabs>
        <w:ind w:left="576" w:firstLine="72"/>
      </w:pPr>
      <w:rPr>
        <w:rFonts w:ascii="Verdana" w:hAnsi="Verdana" w:cs="Verdana"/>
        <w:i/>
        <w:iCs/>
        <w:snapToGrid/>
        <w:spacing w:val="5"/>
        <w:sz w:val="22"/>
        <w:szCs w:val="22"/>
      </w:rPr>
    </w:lvl>
  </w:abstractNum>
  <w:abstractNum w:abstractNumId="1">
    <w:nsid w:val="03FE20FD"/>
    <w:multiLevelType w:val="singleLevel"/>
    <w:tmpl w:val="4BFD6F75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ascii="Verdana" w:hAnsi="Verdana" w:cs="Verdana"/>
        <w:b/>
        <w:bCs/>
        <w:i/>
        <w:iCs/>
        <w:snapToGrid/>
        <w:spacing w:val="6"/>
        <w:sz w:val="19"/>
        <w:szCs w:val="19"/>
      </w:rPr>
    </w:lvl>
  </w:abstractNum>
  <w:abstractNum w:abstractNumId="2">
    <w:nsid w:val="05DAE05C"/>
    <w:multiLevelType w:val="singleLevel"/>
    <w:tmpl w:val="430757B1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-1"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360" w:firstLine="72"/>
        </w:pPr>
        <w:rPr>
          <w:rFonts w:ascii="Verdana" w:hAnsi="Verdana" w:cs="Verdana"/>
          <w:i/>
          <w:iCs/>
          <w:snapToGrid/>
          <w:spacing w:val="3"/>
          <w:w w:val="105"/>
          <w:sz w:val="18"/>
          <w:szCs w:val="18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76"/>
        </w:pPr>
        <w:rPr>
          <w:rFonts w:ascii="Verdana" w:hAnsi="Verdana" w:cs="Verdana"/>
          <w:i/>
          <w:iCs/>
          <w:snapToGrid/>
          <w:spacing w:val="2"/>
          <w:sz w:val="22"/>
          <w:szCs w:val="22"/>
        </w:rPr>
      </w:lvl>
    </w:lvlOverride>
  </w:num>
  <w:num w:numId="5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576"/>
        </w:pPr>
        <w:rPr>
          <w:rFonts w:ascii="Verdana" w:hAnsi="Verdana" w:cs="Verdana"/>
          <w:b/>
          <w:bCs/>
          <w:i/>
          <w:iCs/>
          <w:snapToGrid/>
          <w:spacing w:val="17"/>
          <w:sz w:val="22"/>
          <w:szCs w:val="22"/>
        </w:rPr>
      </w:lvl>
    </w:lvlOverride>
  </w:num>
  <w:num w:numId="6">
    <w:abstractNumId w:val="2"/>
  </w:num>
  <w:num w:numId="7">
    <w:abstractNumId w:val="2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b/>
          <w:bCs/>
          <w:snapToGrid/>
          <w:spacing w:val="-7"/>
          <w:w w:val="105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510D52"/>
    <w:rsid w:val="00132C84"/>
    <w:rsid w:val="00242CFF"/>
    <w:rsid w:val="00296DF7"/>
    <w:rsid w:val="00510D52"/>
    <w:rsid w:val="00667902"/>
    <w:rsid w:val="009F1F41"/>
    <w:rsid w:val="00B1258E"/>
    <w:rsid w:val="00CC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/>
      <w:ind w:right="648"/>
      <w:jc w:val="both"/>
    </w:pPr>
    <w:rPr>
      <w:sz w:val="21"/>
      <w:szCs w:val="21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1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3">
    <w:name w:val="Character Style 3"/>
    <w:uiPriority w:val="9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2014-10-14T18:56:00Z</dcterms:created>
  <dcterms:modified xsi:type="dcterms:W3CDTF">2014-10-14T18:56:00Z</dcterms:modified>
</cp:coreProperties>
</file>